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clear" w:pos="708"/>
          <w:tab w:val="left" w:pos="5387" w:leader="none"/>
        </w:tabs>
        <w:rPr>
          <w:sz w:val="20"/>
        </w:rPr>
      </w:pPr>
      <w:r>
        <w:rPr>
          <w:sz w:val="20"/>
        </w:rPr>
      </w:r>
    </w:p>
    <w:p>
      <w:pPr>
        <w:pStyle w:val="Titoloprincipale"/>
        <w:tabs>
          <w:tab w:val="clear" w:pos="708"/>
          <w:tab w:val="left" w:pos="5387" w:leader="none"/>
        </w:tabs>
        <w:rPr>
          <w:rFonts w:ascii="Calibri" w:hAnsi="Calibri" w:cs="Calibri" w:asciiTheme="minorHAnsi" w:cstheme="minorHAnsi" w:hAnsiTheme="minorHAnsi"/>
          <w:b/>
          <w:b/>
          <w:sz w:val="30"/>
          <w:szCs w:val="30"/>
          <w:lang w:eastAsia="it-IT"/>
        </w:rPr>
      </w:pPr>
      <w:r>
        <w:rPr>
          <w:rFonts w:cs="Calibri" w:cstheme="minorHAnsi" w:ascii="Calibri" w:hAnsi="Calibri"/>
          <w:b/>
          <w:sz w:val="30"/>
          <w:szCs w:val="30"/>
          <w:lang w:eastAsia="it-IT"/>
        </w:rPr>
      </w:r>
    </w:p>
    <w:p>
      <w:pPr>
        <w:pStyle w:val="Titoloprincipale"/>
        <w:tabs>
          <w:tab w:val="clear" w:pos="708"/>
          <w:tab w:val="left" w:pos="5387" w:leader="none"/>
        </w:tabs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ISTITUTO COMPRENSIVO ROCCASTRADA </w:t>
      </w:r>
    </w:p>
    <w:p>
      <w:pPr>
        <w:pStyle w:val="Titoloprincipale"/>
        <w:tabs>
          <w:tab w:val="clear" w:pos="708"/>
          <w:tab w:val="left" w:pos="5387" w:leader="none"/>
        </w:tabs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Leopoldo di Lorena Granduca di Toscana</w:t>
      </w:r>
    </w:p>
    <w:p>
      <w:pPr>
        <w:pStyle w:val="Titolo1"/>
        <w:numPr>
          <w:ilvl w:val="0"/>
          <w:numId w:val="2"/>
        </w:numPr>
        <w:tabs>
          <w:tab w:val="clear" w:pos="708"/>
          <w:tab w:val="left" w:pos="5387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Via S. D’Acquisto 58036 – Roccastrada (GR) </w:t>
      </w:r>
    </w:p>
    <w:p>
      <w:pPr>
        <w:pStyle w:val="Titolo1"/>
        <w:numPr>
          <w:ilvl w:val="0"/>
          <w:numId w:val="2"/>
        </w:numPr>
        <w:tabs>
          <w:tab w:val="clear" w:pos="708"/>
          <w:tab w:val="left" w:pos="5387" w:leader="none"/>
        </w:tabs>
        <w:ind w:left="432" w:right="-1" w:hanging="432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shd w:fill="FFFFFF" w:val="clear"/>
        </w:rPr>
        <w:br/>
      </w:r>
    </w:p>
    <w:p>
      <w:pPr>
        <w:pStyle w:val="Normal"/>
        <w:ind w:right="-1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spacing w:lineRule="auto" w:line="276"/>
        <w:ind w:right="-1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Progettazione didattica generale</w:t>
      </w:r>
    </w:p>
    <w:p>
      <w:pPr>
        <w:pStyle w:val="Normal"/>
        <w:spacing w:lineRule="auto" w:line="276"/>
        <w:ind w:right="-1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Anno Scolastico …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Classe…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aps/>
          <w:color w:val="000000"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caps/>
          <w:color w:val="000000"/>
          <w:sz w:val="22"/>
          <w:szCs w:val="22"/>
          <w:u w:val="single"/>
        </w:rPr>
        <w:t>Equipe pedagogica della classe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aps/>
          <w:color w:val="000000"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caps/>
          <w:color w:val="000000"/>
          <w:sz w:val="22"/>
          <w:szCs w:val="22"/>
          <w:u w:val="single"/>
        </w:rPr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818"/>
        <w:gridCol w:w="4809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color w:val="000000"/>
                <w:sz w:val="22"/>
                <w:szCs w:val="22"/>
              </w:rPr>
              <w:t>Docente</w:t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Storia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Matematica, scienze</w:t>
            </w:r>
            <w:bookmarkStart w:id="0" w:name="_GoBack"/>
            <w:bookmarkEnd w:id="0"/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Francese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Arte e immagine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Scienze motorie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Ed.civica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Religione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Alternativa I.R.C.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ap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2"/>
          <w:szCs w:val="22"/>
          <w:u w:val="single"/>
        </w:rPr>
        <w:t xml:space="preserve">Composizione della classe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tbl>
      <w:tblPr>
        <w:tblStyle w:val="Grigliatabella"/>
        <w:tblW w:w="5362" w:type="dxa"/>
        <w:jc w:val="left"/>
        <w:tblInd w:w="21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  <w:gridCol w:w="2135"/>
      </w:tblGrid>
      <w:tr>
        <w:trPr/>
        <w:tc>
          <w:tcPr>
            <w:tcW w:w="3226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eastAsiaTheme="minorHAnsi" w:ascii="Calibri" w:hAnsi="Calibri" w:asciiTheme="minorHAnsi" w:cstheme="minorHAnsi" w:hAnsiTheme="minorHAnsi"/>
                <w:bCs/>
                <w:sz w:val="22"/>
                <w:szCs w:val="22"/>
                <w:lang w:eastAsia="en-US"/>
              </w:rPr>
              <w:t>Numero totale alunni</w:t>
            </w:r>
          </w:p>
        </w:tc>
        <w:tc>
          <w:tcPr>
            <w:tcW w:w="2135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eastAsiaTheme="minorHAnsi" w:ascii="Calibri" w:hAnsi="Calibri" w:asciiTheme="minorHAnsi" w:cstheme="minorHAnsi" w:hAnsiTheme="minorHAnsi"/>
                <w:bCs/>
                <w:sz w:val="22"/>
                <w:szCs w:val="22"/>
                <w:lang w:eastAsia="en-US"/>
              </w:rPr>
              <w:t>Maschi</w:t>
            </w:r>
          </w:p>
        </w:tc>
        <w:tc>
          <w:tcPr>
            <w:tcW w:w="2135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eastAsiaTheme="minorHAnsi" w:ascii="Calibri" w:hAnsi="Calibri" w:asciiTheme="minorHAnsi" w:cstheme="minorHAnsi" w:hAnsiTheme="minorHAnsi"/>
                <w:bCs/>
                <w:sz w:val="22"/>
                <w:szCs w:val="22"/>
                <w:lang w:eastAsia="en-US"/>
              </w:rPr>
              <w:t>Femmine</w:t>
            </w:r>
          </w:p>
        </w:tc>
        <w:tc>
          <w:tcPr>
            <w:tcW w:w="2135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eastAsiaTheme="minorHAnsi" w:ascii="Calibri" w:hAnsi="Calibri" w:asciiTheme="minorHAnsi" w:cstheme="minorHAnsi" w:hAnsiTheme="minorHAnsi"/>
                <w:bCs/>
                <w:sz w:val="22"/>
                <w:szCs w:val="22"/>
                <w:lang w:eastAsia="en-US"/>
              </w:rPr>
              <w:t>Ripetenti</w:t>
            </w:r>
          </w:p>
        </w:tc>
        <w:tc>
          <w:tcPr>
            <w:tcW w:w="2135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eastAsiaTheme="minorHAnsi" w:ascii="Calibri" w:hAnsi="Calibri" w:asciiTheme="minorHAnsi" w:cstheme="minorHAnsi" w:hAnsiTheme="minorHAnsi"/>
                <w:bCs/>
                <w:sz w:val="22"/>
                <w:szCs w:val="22"/>
                <w:lang w:eastAsia="en-US"/>
              </w:rPr>
              <w:t>DSA</w:t>
            </w:r>
          </w:p>
        </w:tc>
        <w:tc>
          <w:tcPr>
            <w:tcW w:w="2135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eastAsiaTheme="minorHAnsi" w:ascii="Calibri" w:hAnsi="Calibri" w:asciiTheme="minorHAnsi" w:cstheme="minorHAnsi" w:hAnsiTheme="minorHAnsi"/>
                <w:bCs/>
                <w:sz w:val="22"/>
                <w:szCs w:val="22"/>
                <w:lang w:eastAsia="en-US"/>
              </w:rPr>
              <w:t>Diversamente abili</w:t>
            </w:r>
          </w:p>
        </w:tc>
        <w:tc>
          <w:tcPr>
            <w:tcW w:w="2135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eastAsiaTheme="minorHAnsi" w:ascii="Calibri" w:hAnsi="Calibri" w:asciiTheme="minorHAnsi" w:cstheme="minorHAnsi" w:hAnsiTheme="minorHAnsi"/>
                <w:bCs/>
                <w:sz w:val="22"/>
                <w:szCs w:val="22"/>
                <w:lang w:eastAsia="en-US"/>
              </w:rPr>
              <w:t>Altri BES</w:t>
            </w:r>
          </w:p>
        </w:tc>
        <w:tc>
          <w:tcPr>
            <w:tcW w:w="2135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rPr>
          <w:rFonts w:ascii="Calibri" w:hAnsi="Calibri" w:cs="Calibri" w:asciiTheme="minorHAnsi" w:cstheme="minorHAnsi" w:hAnsiTheme="minorHAnsi"/>
          <w:b/>
          <w:b/>
          <w:bCs/>
          <w:color w:val="000000"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rPr>
          <w:rFonts w:ascii="Calibri" w:hAnsi="Calibri" w:cs="Calibri" w:asciiTheme="minorHAnsi" w:cstheme="minorHAnsi" w:hAnsiTheme="minorHAnsi"/>
          <w:b/>
          <w:b/>
          <w:bCs/>
          <w:caps/>
          <w:color w:val="000000"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color w:val="000000"/>
          <w:sz w:val="22"/>
          <w:szCs w:val="22"/>
          <w:u w:val="single"/>
        </w:rPr>
        <w:t>Profilo didattico disciplinare generale della classe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FASCE DI LIVELLO DELLA CLASSE: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tbl>
      <w:tblPr>
        <w:tblStyle w:val="Grigliatabella"/>
        <w:tblW w:w="978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4"/>
        <w:gridCol w:w="3436"/>
      </w:tblGrid>
      <w:tr>
        <w:trPr/>
        <w:tc>
          <w:tcPr>
            <w:tcW w:w="6344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eastAsiaTheme="minorHAnsi" w:ascii="Calibri" w:hAnsi="Calibri" w:asciiTheme="minorHAnsi" w:cstheme="minorHAnsi" w:hAnsiTheme="minorHAnsi"/>
                <w:sz w:val="22"/>
                <w:szCs w:val="22"/>
                <w:lang w:eastAsia="en-US"/>
              </w:rPr>
              <w:t>Alunni con preparazione insufficiente o mediocre</w:t>
            </w:r>
          </w:p>
        </w:tc>
        <w:tc>
          <w:tcPr>
            <w:tcW w:w="3436" w:type="dxa"/>
            <w:tcBorders/>
          </w:tcPr>
          <w:p>
            <w:pPr>
              <w:pStyle w:val="Normal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6344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eastAsiaTheme="minorHAnsi" w:ascii="Calibri" w:hAnsi="Calibri" w:asciiTheme="minorHAnsi" w:cstheme="minorHAnsi" w:hAnsiTheme="minorHAnsi"/>
                <w:sz w:val="22"/>
                <w:szCs w:val="22"/>
                <w:lang w:eastAsia="en-US"/>
              </w:rPr>
              <w:t>Alunni con preparazione sufficiente</w:t>
            </w:r>
          </w:p>
        </w:tc>
        <w:tc>
          <w:tcPr>
            <w:tcW w:w="3436" w:type="dxa"/>
            <w:tcBorders/>
          </w:tcPr>
          <w:p>
            <w:pPr>
              <w:pStyle w:val="Normal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6344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eastAsiaTheme="minorHAnsi" w:ascii="Calibri" w:hAnsi="Calibri" w:asciiTheme="minorHAnsi" w:cstheme="minorHAnsi" w:hAnsiTheme="minorHAnsi"/>
                <w:sz w:val="22"/>
                <w:szCs w:val="22"/>
                <w:lang w:eastAsia="en-US"/>
              </w:rPr>
              <w:t>Alunni con preparazione più che sufficiente o discreta</w:t>
            </w:r>
          </w:p>
        </w:tc>
        <w:tc>
          <w:tcPr>
            <w:tcW w:w="3436" w:type="dxa"/>
            <w:tcBorders/>
          </w:tcPr>
          <w:p>
            <w:pPr>
              <w:pStyle w:val="Normal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6344" w:type="dxa"/>
            <w:tcBorders/>
          </w:tcPr>
          <w:p>
            <w:pPr>
              <w:pStyle w:val="Normal"/>
              <w:ind w:hanging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eastAsiaTheme="minorHAnsi" w:ascii="Calibri" w:hAnsi="Calibri" w:asciiTheme="minorHAnsi" w:cstheme="minorHAnsi" w:hAnsiTheme="minorHAnsi"/>
                <w:sz w:val="22"/>
                <w:szCs w:val="22"/>
                <w:lang w:eastAsia="en-US"/>
              </w:rPr>
              <w:t>Alunni con preparazione buona o ottima</w:t>
            </w:r>
          </w:p>
        </w:tc>
        <w:tc>
          <w:tcPr>
            <w:tcW w:w="3436" w:type="dxa"/>
            <w:tcBorders/>
          </w:tcPr>
          <w:p>
            <w:pPr>
              <w:pStyle w:val="Normal"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iCs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iCs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iCs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COMPETENZE CHIAVE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8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Comunicare nella madrelingua: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capacità di esprimere e interpretare concetti, pensieri, sentimenti, fatti e opinioni in forma sia scritta sia orale e di interagire adeguatamente e in modo creativo sul piano linguistico in un’intera gamma di contesti culturali e sociali, quali istruzione, vita domestica e tempo libero.</w:t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  <w:sz w:val="10"/>
          <w:szCs w:val="10"/>
        </w:rPr>
      </w:pPr>
      <w:r>
        <w:rPr>
          <w:rFonts w:cs="Calibri" w:cstheme="minorHAnsi" w:ascii="Calibri" w:hAnsi="Calibri"/>
          <w:sz w:val="10"/>
          <w:szCs w:val="10"/>
        </w:rPr>
      </w:r>
    </w:p>
    <w:p>
      <w:pPr>
        <w:pStyle w:val="ListParagraph"/>
        <w:numPr>
          <w:ilvl w:val="0"/>
          <w:numId w:val="8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Competenza digitale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: capacità di utilizzare in modo corretto le tecnologie, in particolare il computer, per reperire, valutare, conservare, produrre, presentare e scambiare informazioni, nonché per comunicare e partecipare a reti collaborative tramite Internet.</w:t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  <w:sz w:val="10"/>
          <w:szCs w:val="10"/>
        </w:rPr>
      </w:pPr>
      <w:r>
        <w:rPr>
          <w:rFonts w:cs="Calibri" w:cstheme="minorHAnsi" w:ascii="Calibri" w:hAnsi="Calibri"/>
          <w:sz w:val="10"/>
          <w:szCs w:val="10"/>
        </w:rPr>
      </w:r>
    </w:p>
    <w:p>
      <w:pPr>
        <w:pStyle w:val="ListParagraph"/>
        <w:numPr>
          <w:ilvl w:val="0"/>
          <w:numId w:val="8"/>
        </w:numPr>
        <w:ind w:left="284" w:hanging="284"/>
        <w:jc w:val="both"/>
        <w:rPr>
          <w:rFonts w:ascii="Calibri" w:hAnsi="Calibri" w:cs="Calibri" w:asciiTheme="minorHAnsi" w:cstheme="minorHAnsi" w:hAnsiTheme="minorHAnsi"/>
          <w:color w:val="141412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141412"/>
          <w:sz w:val="22"/>
          <w:szCs w:val="22"/>
        </w:rPr>
        <w:t xml:space="preserve">Competenze matematiche: </w:t>
      </w:r>
      <w:r>
        <w:rPr>
          <w:rFonts w:cs="Calibri" w:ascii="Calibri" w:hAnsi="Calibri" w:asciiTheme="minorHAnsi" w:cstheme="minorHAnsi" w:hAnsiTheme="minorHAnsi"/>
          <w:bCs/>
          <w:color w:val="141412"/>
          <w:sz w:val="22"/>
          <w:szCs w:val="22"/>
        </w:rPr>
        <w:t>u</w:t>
      </w:r>
      <w:r>
        <w:rPr>
          <w:rFonts w:cs="Calibri" w:ascii="Calibri" w:hAnsi="Calibri" w:asciiTheme="minorHAnsi" w:cstheme="minorHAnsi" w:hAnsiTheme="minorHAnsi"/>
          <w:color w:val="141412"/>
          <w:sz w:val="22"/>
          <w:szCs w:val="22"/>
        </w:rPr>
        <w:t>tilizzare il linguaggio e i metodi propri della matematica per organizzare e valutare adeguatamente informazioni qualitative e quantitative. Utilizzare le strategie del pensiero razionale negli aspetti dialettici e algoritmici per affrontare situazioni problematiche, elaborando opportune soluzioni.</w:t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  <w:color w:val="141412"/>
          <w:sz w:val="10"/>
          <w:szCs w:val="10"/>
        </w:rPr>
      </w:pPr>
      <w:r>
        <w:rPr>
          <w:rFonts w:cs="Calibri" w:cstheme="minorHAnsi" w:ascii="Calibri" w:hAnsi="Calibri"/>
          <w:color w:val="141412"/>
          <w:sz w:val="10"/>
          <w:szCs w:val="10"/>
        </w:rPr>
      </w:r>
    </w:p>
    <w:p>
      <w:pPr>
        <w:pStyle w:val="ListParagraph"/>
        <w:numPr>
          <w:ilvl w:val="0"/>
          <w:numId w:val="8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Imparare a imparare: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abilità di perseverare nell’apprendimento, di organizzare il proprio apprendimento anche mediante una gestione efficace del tempo e delle informazioni, sia a livello individuale che in gruppo. Tale competenza comprende la consapevolezza del proprio processo di apprendimento e dei propri bisogni, l’identificazione delle opportunità disponibili e la capacità di sormontare gli ostacoli per apprendere in modo efficace.</w:t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  <w:sz w:val="10"/>
          <w:szCs w:val="10"/>
        </w:rPr>
      </w:pPr>
      <w:r>
        <w:rPr>
          <w:rFonts w:cs="Calibri" w:cstheme="minorHAnsi" w:ascii="Calibri" w:hAnsi="Calibri"/>
          <w:sz w:val="10"/>
          <w:szCs w:val="10"/>
        </w:rPr>
      </w:r>
    </w:p>
    <w:p>
      <w:pPr>
        <w:pStyle w:val="ListParagraph"/>
        <w:numPr>
          <w:ilvl w:val="0"/>
          <w:numId w:val="8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Competenze sociali e civiche: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includono competenze personali, interpersonali e interculturali e riguardano tutte le forme di comportamento che consentono di partecipare in modo costruttivo alla vita sociale e civile.</w:t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  <w:sz w:val="10"/>
          <w:szCs w:val="10"/>
        </w:rPr>
      </w:pPr>
      <w:r>
        <w:rPr>
          <w:rFonts w:cs="Calibri" w:cstheme="minorHAnsi" w:ascii="Calibri" w:hAnsi="Calibri"/>
          <w:sz w:val="10"/>
          <w:szCs w:val="10"/>
        </w:rPr>
      </w:r>
    </w:p>
    <w:p>
      <w:pPr>
        <w:pStyle w:val="ListParagraph"/>
        <w:numPr>
          <w:ilvl w:val="0"/>
          <w:numId w:val="8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Spirito di iniziativa: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capacità di tradurre le idee in azione, di pianificare e di gestire progetti per raggiungere obiettivi.</w:t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  <w:sz w:val="10"/>
          <w:szCs w:val="10"/>
        </w:rPr>
      </w:pPr>
      <w:r>
        <w:rPr>
          <w:rFonts w:cs="Calibri" w:cstheme="minorHAnsi" w:ascii="Calibri" w:hAnsi="Calibri"/>
          <w:sz w:val="10"/>
          <w:szCs w:val="10"/>
        </w:rPr>
      </w:r>
    </w:p>
    <w:p>
      <w:pPr>
        <w:pStyle w:val="ListParagraph"/>
        <w:numPr>
          <w:ilvl w:val="0"/>
          <w:numId w:val="8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Consapevolezza ed espressione culturale: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riguarda l’importanza dell’espressione creativa  di idee, esperienze ed emozioni in un’ampia varietà di mezzi di comunicazione, compresi la musica, le arti dello spettacolo, la letteratura e le arti visive.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iCs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iCs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  <w:u w:val="single"/>
        </w:rPr>
        <w:t>OBIETTIVI EDUCATIVI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  <w:u w:val="single"/>
        </w:rPr>
        <w:t>OBIETTIVI DIDATTICI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  <w:u w:val="single"/>
        </w:rPr>
        <w:t>METODI E MEZZI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72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72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cap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caps/>
          <w:sz w:val="22"/>
          <w:szCs w:val="22"/>
          <w:u w:val="single"/>
        </w:rPr>
        <w:t>Criteri generali di conduzione della classe: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controllo del rispetto delle norme anti-covid;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controllo quotidiano dei compiti assegnati a casa;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autovalutazione delle proprie prove di verifica;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sollecitazione al confronto tra pari, laddove se ne presenta la necessità, attraverso discussioni ordinate improntate sempre al rispetto reciproco (educare quindi all’ascolto dell’altro e all’autocontrollo);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sollecitazione continua dell’impegno sia nelle attività svolte durante l’orario scolastico sia nei compiti a casa.</w:t>
      </w:r>
    </w:p>
    <w:p>
      <w:pPr>
        <w:pStyle w:val="Normal"/>
        <w:ind w:left="72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72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  <w:u w:val="single"/>
        </w:rPr>
        <w:t>CONTENUTI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iCs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Si rimanda ai Piani di Lavoro individuale.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ap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caps/>
          <w:sz w:val="22"/>
          <w:szCs w:val="22"/>
          <w:u w:val="single"/>
        </w:rPr>
        <w:t>Casi particolari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Gli alunni con BES seguiranno un percorso personalizzato e saranno per loro proposte attività aventi come obiettivo l’acquisizione di abilità operative e non con l’ausilio di strumenti compensativi e dispensativi meglio specificati nel PDP. In tali casi il raggiungimento degli obbiettivi sarà basato su: </w:t>
      </w:r>
    </w:p>
    <w:p>
      <w:pPr>
        <w:pStyle w:val="ListParagraph"/>
        <w:numPr>
          <w:ilvl w:val="0"/>
          <w:numId w:val="3"/>
        </w:numPr>
        <w:ind w:left="284" w:hanging="14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l’integrazione delle proposte del libro di testo con strumenti didattici appropriati per gli alunni con BES;</w:t>
      </w:r>
    </w:p>
    <w:p>
      <w:pPr>
        <w:pStyle w:val="ListParagraph"/>
        <w:numPr>
          <w:ilvl w:val="0"/>
          <w:numId w:val="3"/>
        </w:numPr>
        <w:ind w:left="284" w:hanging="14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l’accompagnamento nel percorso di studio degli argomenti proposti con un linguaggio accessibile e con testi brevi ed essenziali;</w:t>
      </w:r>
    </w:p>
    <w:p>
      <w:pPr>
        <w:pStyle w:val="ListParagraph"/>
        <w:numPr>
          <w:ilvl w:val="0"/>
          <w:numId w:val="3"/>
        </w:numPr>
        <w:ind w:left="284" w:hanging="14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supporto con esemplificazioni, schemi, tabelle, mappe;</w:t>
      </w:r>
    </w:p>
    <w:p>
      <w:pPr>
        <w:pStyle w:val="ListParagraph"/>
        <w:numPr>
          <w:ilvl w:val="0"/>
          <w:numId w:val="3"/>
        </w:numPr>
        <w:ind w:left="284" w:hanging="14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presentazione, per ogni argomento, di strumenti compensativi, che costituiscono allo stesso tempo esempi su cui costruire i propri strumenti personali;</w:t>
      </w:r>
    </w:p>
    <w:p>
      <w:pPr>
        <w:pStyle w:val="ListParagraph"/>
        <w:numPr>
          <w:ilvl w:val="0"/>
          <w:numId w:val="3"/>
        </w:numPr>
        <w:ind w:left="284" w:hanging="14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l’evidenziare i collegamenti tra argomenti diversi e le competenze necessarie per affrontare i nuovi argomenti.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uppressAutoHyphens w:val="false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iCs/>
          <w:sz w:val="22"/>
          <w:szCs w:val="22"/>
          <w:u w:val="single"/>
        </w:rPr>
      </w:pPr>
      <w:r>
        <w:rPr>
          <w:rFonts w:eastAsia="" w:cs="Calibri" w:cstheme="minorHAnsi" w:eastAsiaTheme="minorEastAsia" w:ascii="Calibri" w:hAnsi="Calibri"/>
          <w:b/>
          <w:bCs/>
          <w:iCs/>
          <w:sz w:val="22"/>
          <w:szCs w:val="22"/>
          <w:u w:val="single"/>
        </w:rPr>
      </w:r>
    </w:p>
    <w:p>
      <w:pPr>
        <w:pStyle w:val="Normal"/>
        <w:suppressAutoHyphens w:val="false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iCs/>
          <w:sz w:val="22"/>
          <w:szCs w:val="22"/>
          <w:u w:val="single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bCs/>
          <w:iCs/>
          <w:sz w:val="22"/>
          <w:szCs w:val="22"/>
          <w:u w:val="single"/>
        </w:rPr>
        <w:t>ATTIVITÀ INTEGRATIVE</w:t>
      </w:r>
    </w:p>
    <w:p>
      <w:pPr>
        <w:pStyle w:val="Normal"/>
        <w:suppressAutoHyphens w:val="false"/>
        <w:rPr>
          <w:rFonts w:ascii="Calibri" w:hAnsi="Calibri" w:eastAsia="" w:cs="Calibri" w:asciiTheme="minorHAnsi" w:cstheme="minorHAnsi" w:eastAsiaTheme="minorEastAsia" w:hAnsiTheme="minorHAnsi"/>
          <w:b/>
          <w:b/>
          <w:i/>
          <w:i/>
          <w:sz w:val="22"/>
          <w:szCs w:val="22"/>
          <w:u w:val="single"/>
        </w:rPr>
      </w:pPr>
      <w:r>
        <w:rPr>
          <w:rFonts w:eastAsia="" w:cs="Calibri" w:cstheme="minorHAnsi" w:eastAsiaTheme="minorEastAsia" w:ascii="Calibri" w:hAnsi="Calibri"/>
          <w:b/>
          <w:i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  <w:u w:val="single"/>
        </w:rPr>
        <w:t>VISITE GUIDATE E VIAGGI DI ISTRUZIONE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/>
          <w:i/>
          <w:i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i/>
          <w:iCs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/>
          <w:i/>
          <w:i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i/>
          <w:iCs/>
          <w:sz w:val="22"/>
          <w:szCs w:val="22"/>
          <w:u w:val="single"/>
        </w:rPr>
      </w:r>
    </w:p>
    <w:p>
      <w:pPr>
        <w:pStyle w:val="Normal"/>
        <w:suppressAutoHyphens w:val="false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iCs/>
          <w:sz w:val="22"/>
          <w:szCs w:val="22"/>
          <w:u w:val="single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bCs/>
          <w:iCs/>
          <w:sz w:val="22"/>
          <w:szCs w:val="22"/>
          <w:u w:val="single"/>
        </w:rPr>
        <w:t>TIPOLOGIE DI VERIFICHE UTILIZZATE</w:t>
      </w:r>
    </w:p>
    <w:p>
      <w:pPr>
        <w:pStyle w:val="Normal"/>
        <w:suppressAutoHyphens w:val="false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cstheme="minorHAnsi" w:eastAsiaTheme="minorEastAsia" w:ascii="Calibri" w:hAnsi="Calibri"/>
          <w:sz w:val="22"/>
          <w:szCs w:val="22"/>
        </w:rPr>
      </w:r>
    </w:p>
    <w:p>
      <w:pPr>
        <w:pStyle w:val="Normal"/>
        <w:suppressAutoHyphens w:val="false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sz w:val="22"/>
          <w:szCs w:val="22"/>
        </w:rPr>
      </w:pPr>
      <w:r>
        <w:rPr>
          <w:rFonts w:eastAsia="" w:cs="Calibri" w:cstheme="minorHAnsi" w:eastAsiaTheme="minorEastAsia" w:ascii="Calibri" w:hAnsi="Calibri"/>
          <w:b/>
          <w:bCs/>
          <w:sz w:val="22"/>
          <w:szCs w:val="22"/>
        </w:rPr>
      </w:r>
    </w:p>
    <w:p>
      <w:pPr>
        <w:pStyle w:val="Normal"/>
        <w:suppressAutoHyphens w:val="false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sz w:val="22"/>
          <w:szCs w:val="22"/>
        </w:rPr>
      </w:pPr>
      <w:r>
        <w:rPr>
          <w:rFonts w:eastAsia="" w:cs="Calibri" w:cstheme="minorHAnsi" w:eastAsiaTheme="minorEastAsia" w:ascii="Calibri" w:hAnsi="Calibri"/>
          <w:b/>
          <w:bCs/>
          <w:sz w:val="22"/>
          <w:szCs w:val="22"/>
        </w:rPr>
      </w:r>
    </w:p>
    <w:p>
      <w:pPr>
        <w:pStyle w:val="Normal"/>
        <w:suppressAutoHyphens w:val="false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bCs/>
          <w:sz w:val="22"/>
          <w:szCs w:val="22"/>
        </w:rPr>
        <w:t>Per lo scritto:</w:t>
      </w:r>
    </w:p>
    <w:p>
      <w:pPr>
        <w:pStyle w:val="Normal"/>
        <w:suppressAutoHyphens w:val="false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cstheme="minorHAnsi" w:eastAsiaTheme="minorEastAsia" w:ascii="Calibri" w:hAnsi="Calibri"/>
          <w:sz w:val="22"/>
          <w:szCs w:val="22"/>
        </w:rPr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sz w:val="22"/>
          <w:szCs w:val="22"/>
        </w:rPr>
      </w:pPr>
      <w:r>
        <w:rPr>
          <w:rFonts w:eastAsia="" w:cs="Calibri" w:cstheme="minorHAnsi" w:eastAsiaTheme="minorEastAsia" w:ascii="Calibri" w:hAnsi="Calibri"/>
          <w:b/>
          <w:bCs/>
          <w:sz w:val="22"/>
          <w:szCs w:val="22"/>
        </w:rPr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bCs/>
          <w:sz w:val="22"/>
          <w:szCs w:val="22"/>
        </w:rPr>
        <w:t>Per l’orale:</w:t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cstheme="minorHAnsi" w:eastAsiaTheme="minorEastAsia" w:ascii="Calibri" w:hAnsi="Calibri"/>
          <w:sz w:val="22"/>
          <w:szCs w:val="22"/>
        </w:rPr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cstheme="minorHAnsi" w:eastAsiaTheme="minorEastAsia" w:ascii="Calibri" w:hAnsi="Calibri"/>
          <w:sz w:val="22"/>
          <w:szCs w:val="22"/>
        </w:rPr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bCs/>
          <w:sz w:val="22"/>
          <w:szCs w:val="22"/>
        </w:rPr>
        <w:t>Per la pratica:</w:t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cstheme="minorHAnsi" w:eastAsiaTheme="minorEastAsia" w:ascii="Calibri" w:hAnsi="Calibri"/>
          <w:sz w:val="22"/>
          <w:szCs w:val="22"/>
        </w:rPr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cstheme="minorHAnsi" w:eastAsiaTheme="minorEastAsia" w:ascii="Calibri" w:hAnsi="Calibri"/>
          <w:sz w:val="22"/>
          <w:szCs w:val="22"/>
        </w:rPr>
      </w:r>
    </w:p>
    <w:p>
      <w:pPr>
        <w:pStyle w:val="Normal"/>
        <w:suppressAutoHyphens w:val="false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iCs/>
          <w:sz w:val="22"/>
          <w:szCs w:val="22"/>
          <w:u w:val="single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bCs/>
          <w:iCs/>
          <w:sz w:val="22"/>
          <w:szCs w:val="22"/>
          <w:u w:val="single"/>
        </w:rPr>
        <w:t>VALUTAZIONI</w:t>
      </w:r>
    </w:p>
    <w:p>
      <w:pPr>
        <w:pStyle w:val="Normal"/>
        <w:suppressAutoHyphens w:val="false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cstheme="minorHAnsi" w:eastAsiaTheme="minorEastAsia" w:ascii="Calibri" w:hAnsi="Calibri"/>
          <w:sz w:val="22"/>
          <w:szCs w:val="22"/>
        </w:rPr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Il processo di apprendimento degli alunni della classe sarà costantemente monitorato. La valutazione avverrà mediante verifiche in itinere di tipo formativo e sommativo.</w:t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La valutazione formativa permetterà di cogliere, in itinere, i livelli di approfondimento dei singoli, ma anche l'efficacia delle procedure seguite, permettendo, quindi, un'eventuale revisione e correzione del processo, l'attivazione dei corsi di recupero - sostegno, il cambiamento delle metodologie didattiche.</w:t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 xml:space="preserve">La valutazione sommativa permetterà di verificare il raggiungimento degli obiettivi e il livello permettendo di ottenere un bilancio consuntivo sull'attività scolastica e sugli apprendimenti che essa ha promosso. Nella valutazione si terrà conto delle varie capacità, dell’impegno e della partecipazione dimostrati nelle varie attività didattiche, dei livelli di partenza, della conoscenza dei contenuti e dei progressi compiuti. </w:t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sz w:val="10"/>
          <w:szCs w:val="10"/>
        </w:rPr>
      </w:pPr>
      <w:r>
        <w:rPr>
          <w:rFonts w:eastAsia="" w:cs="Calibri" w:cstheme="minorHAnsi" w:eastAsiaTheme="minorEastAsia" w:ascii="Calibri" w:hAnsi="Calibri"/>
          <w:sz w:val="10"/>
          <w:szCs w:val="10"/>
        </w:rPr>
      </w:r>
    </w:p>
    <w:p>
      <w:pPr>
        <w:pStyle w:val="Normal"/>
        <w:suppressAutoHyphens w:val="false"/>
        <w:jc w:val="both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La valutazione terrà conto anche dell’</w:t>
      </w:r>
      <w:r>
        <w:rPr>
          <w:rFonts w:eastAsia="" w:cs="Calibri" w:ascii="Calibri" w:hAnsi="Calibri" w:asciiTheme="minorHAnsi" w:cstheme="minorHAnsi" w:eastAsiaTheme="minorEastAsia" w:hAnsiTheme="minorHAnsi"/>
          <w:b/>
          <w:bCs/>
          <w:sz w:val="22"/>
          <w:szCs w:val="22"/>
        </w:rPr>
        <w:t>ambito non cognitivo</w:t>
      </w: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 xml:space="preserve"> secondo i seguenti criteri:</w:t>
      </w:r>
    </w:p>
    <w:p>
      <w:pPr>
        <w:pStyle w:val="Normal"/>
        <w:suppressAutoHyphens w:val="false"/>
        <w:spacing w:beforeAutospacing="1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  <w:u w:val="single"/>
        </w:rPr>
        <w:t>Rapporto con il lavoro</w:t>
      </w:r>
    </w:p>
    <w:p>
      <w:pPr>
        <w:pStyle w:val="Normal"/>
        <w:numPr>
          <w:ilvl w:val="0"/>
          <w:numId w:val="5"/>
        </w:numPr>
        <w:suppressAutoHyphens w:val="false"/>
        <w:spacing w:beforeAutospacing="1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Capacità di passare da un’attività all’altra.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Saper organizzare il proprio lavoro con strumenti e materiali adeguati.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Rispetto dei tempi indicati per lo svolgimento delle attività.</w:t>
      </w:r>
    </w:p>
    <w:p>
      <w:pPr>
        <w:pStyle w:val="Normal"/>
        <w:suppressAutoHyphens w:val="false"/>
        <w:spacing w:beforeAutospacing="1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  <w:u w:val="single"/>
        </w:rPr>
        <w:t>Rapporto con l’ambiente</w:t>
      </w:r>
    </w:p>
    <w:p>
      <w:pPr>
        <w:pStyle w:val="Normal"/>
        <w:numPr>
          <w:ilvl w:val="0"/>
          <w:numId w:val="6"/>
        </w:numPr>
        <w:suppressAutoHyphens w:val="false"/>
        <w:spacing w:beforeAutospacing="1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Rispetto dell’ambiente in cui si vive e si lavora.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Cura delle attrezzature proprie e comuni.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Conoscenza e rispetto del regolamento scolastico.</w:t>
      </w:r>
    </w:p>
    <w:p>
      <w:pPr>
        <w:pStyle w:val="Normal"/>
        <w:suppressAutoHyphens w:val="false"/>
        <w:spacing w:beforeAutospacing="1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  <w:u w:val="single"/>
        </w:rPr>
      </w:pPr>
      <w:r>
        <w:rPr>
          <w:rFonts w:eastAsia="" w:cs="Calibri" w:cstheme="minorHAnsi" w:eastAsiaTheme="minorEastAsia" w:ascii="Calibri" w:hAnsi="Calibri"/>
          <w:sz w:val="22"/>
          <w:szCs w:val="22"/>
          <w:u w:val="single"/>
        </w:rPr>
      </w:r>
    </w:p>
    <w:p>
      <w:pPr>
        <w:pStyle w:val="Normal"/>
        <w:suppressAutoHyphens w:val="false"/>
        <w:spacing w:beforeAutospacing="1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  <w:u w:val="single"/>
        </w:rPr>
        <w:t>Rapporto con le persone</w:t>
      </w:r>
    </w:p>
    <w:p>
      <w:pPr>
        <w:pStyle w:val="Normal"/>
        <w:numPr>
          <w:ilvl w:val="0"/>
          <w:numId w:val="7"/>
        </w:numPr>
        <w:suppressAutoHyphens w:val="false"/>
        <w:spacing w:beforeAutospacing="1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Rispetto dei compagni e accettazione delle diversità.</w:t>
      </w:r>
    </w:p>
    <w:p>
      <w:pPr>
        <w:pStyle w:val="Normal"/>
        <w:numPr>
          <w:ilvl w:val="0"/>
          <w:numId w:val="7"/>
        </w:numPr>
        <w:suppressAutoHyphens w:val="false"/>
        <w:spacing w:before="0" w:after="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Capacità di mettersi in relazione con gli adulti, secondo il loro ruolo.</w:t>
      </w:r>
    </w:p>
    <w:p>
      <w:pPr>
        <w:pStyle w:val="Normal"/>
        <w:numPr>
          <w:ilvl w:val="0"/>
          <w:numId w:val="7"/>
        </w:numPr>
        <w:suppressAutoHyphens w:val="false"/>
        <w:spacing w:before="0" w:after="0"/>
        <w:jc w:val="both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Autocontrollo e cura di sé.</w:t>
      </w:r>
    </w:p>
    <w:p>
      <w:pPr>
        <w:pStyle w:val="Normal"/>
        <w:suppressAutoHyphens w:val="false"/>
        <w:spacing w:beforeAutospacing="1" w:after="0"/>
        <w:jc w:val="both"/>
        <w:rPr>
          <w:rFonts w:ascii="Calibri" w:hAnsi="Calibri" w:eastAsia="" w:cs="Calibri" w:asciiTheme="minorHAnsi" w:cstheme="minorHAnsi" w:eastAsiaTheme="minorEastAsia" w:hAnsiTheme="minorHAnsi"/>
          <w:sz w:val="10"/>
          <w:szCs w:val="10"/>
        </w:rPr>
      </w:pPr>
      <w:r>
        <w:rPr>
          <w:rFonts w:eastAsia="" w:cs="Calibri" w:cstheme="minorHAnsi" w:eastAsiaTheme="minorEastAsia" w:ascii="Calibri" w:hAnsi="Calibri"/>
          <w:sz w:val="10"/>
          <w:szCs w:val="10"/>
        </w:rPr>
      </w:r>
    </w:p>
    <w:p>
      <w:pPr>
        <w:pStyle w:val="Normal"/>
        <w:suppressAutoHyphens w:val="false"/>
        <w:spacing w:beforeAutospacing="1" w:after="0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iCs/>
          <w:sz w:val="22"/>
          <w:szCs w:val="22"/>
          <w:u w:val="single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bCs/>
          <w:iCs/>
          <w:sz w:val="22"/>
          <w:szCs w:val="22"/>
          <w:u w:val="single"/>
        </w:rPr>
        <w:t>RAPPORTI CON LE FAMIGLIE</w:t>
      </w:r>
    </w:p>
    <w:p>
      <w:pPr>
        <w:pStyle w:val="Normal"/>
        <w:suppressAutoHyphens w:val="false"/>
        <w:spacing w:beforeAutospacing="1" w:after="0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iCs/>
          <w:sz w:val="22"/>
          <w:szCs w:val="22"/>
          <w:u w:val="single"/>
        </w:rPr>
      </w:pPr>
      <w:r>
        <w:rPr>
          <w:rFonts w:eastAsia="" w:cs="Calibri" w:cstheme="minorHAnsi" w:eastAsiaTheme="minorEastAsia" w:ascii="Calibri" w:hAnsi="Calibri"/>
          <w:b/>
          <w:bCs/>
          <w:iCs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cstheme="minorHAnsi" w:eastAsiaTheme="minorEastAsia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Luogo e data</w:t>
        <w:tab/>
        <w:tab/>
        <w:tab/>
        <w:tab/>
        <w:tab/>
        <w:tab/>
        <w:tab/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coordinatore di classe</w:t>
      </w:r>
    </w:p>
    <w:sectPr>
      <w:type w:val="nextPage"/>
      <w:pgSz w:w="11906" w:h="16838"/>
      <w:pgMar w:left="1134" w:right="991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."/>
      <w:lvlJc w:val="left"/>
      <w:pPr>
        <w:ind w:left="720" w:hanging="360"/>
      </w:pPr>
      <w:rPr>
        <w:sz w:val="22"/>
        <w:b/>
        <w:rFonts w:cs="Calibri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67de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it-IT" w:bidi="ar-SA"/>
    </w:rPr>
  </w:style>
  <w:style w:type="paragraph" w:styleId="Titolo1">
    <w:name w:val="Heading 1"/>
    <w:basedOn w:val="Normal"/>
    <w:next w:val="Normal"/>
    <w:link w:val="Titolo1Carattere"/>
    <w:qFormat/>
    <w:rsid w:val="009c67de"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9c67de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9c67de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Appleconvertedspace" w:customStyle="1">
    <w:name w:val="apple-converted-space"/>
    <w:basedOn w:val="DefaultParagraphFont"/>
    <w:qFormat/>
    <w:rsid w:val="009c67de"/>
    <w:rPr/>
  </w:style>
  <w:style w:type="character" w:styleId="Titolo1Carattere" w:customStyle="1">
    <w:name w:val="Titolo 1 Carattere"/>
    <w:basedOn w:val="DefaultParagraphFont"/>
    <w:link w:val="Titolo1"/>
    <w:qFormat/>
    <w:rsid w:val="009c67de"/>
    <w:rPr>
      <w:rFonts w:ascii="Arial" w:hAnsi="Arial" w:eastAsia="Times New Roman" w:cs="Arial"/>
      <w:sz w:val="24"/>
      <w:szCs w:val="20"/>
      <w:lang w:eastAsia="ar-SA"/>
    </w:rPr>
  </w:style>
  <w:style w:type="character" w:styleId="TitoloCarattere" w:customStyle="1">
    <w:name w:val="Titolo Carattere"/>
    <w:basedOn w:val="DefaultParagraphFont"/>
    <w:link w:val="Titolo"/>
    <w:qFormat/>
    <w:rsid w:val="009c67de"/>
    <w:rPr>
      <w:rFonts w:ascii="Arial" w:hAnsi="Arial" w:eastAsia="Times New Roman" w:cs="Arial"/>
      <w:sz w:val="24"/>
      <w:szCs w:val="20"/>
      <w:lang w:eastAsia="ar-SA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9c67de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ar-SA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b9764c"/>
    <w:rPr>
      <w:color w:val="0000FF"/>
      <w:u w:val="single"/>
    </w:rPr>
  </w:style>
  <w:style w:type="character" w:styleId="Datanascitaelencoalunni" w:customStyle="1">
    <w:name w:val="datanascitaelencoalunni"/>
    <w:basedOn w:val="DefaultParagraphFont"/>
    <w:qFormat/>
    <w:rsid w:val="00b9764c"/>
    <w:rPr/>
  </w:style>
  <w:style w:type="character" w:styleId="Label" w:customStyle="1">
    <w:name w:val="label"/>
    <w:basedOn w:val="DefaultParagraphFont"/>
    <w:qFormat/>
    <w:rsid w:val="00b9764c"/>
    <w:rPr/>
  </w:style>
  <w:style w:type="character" w:styleId="Inserisci" w:customStyle="1">
    <w:name w:val="inserisci"/>
    <w:basedOn w:val="DefaultParagraphFont"/>
    <w:qFormat/>
    <w:rsid w:val="00b9764c"/>
    <w:rPr/>
  </w:style>
  <w:style w:type="character" w:styleId="Dato" w:customStyle="1">
    <w:name w:val="dato"/>
    <w:basedOn w:val="DefaultParagraphFont"/>
    <w:qFormat/>
    <w:rsid w:val="00b9764c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c67d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c67d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oloprincipale">
    <w:name w:val="Title"/>
    <w:basedOn w:val="Normal"/>
    <w:next w:val="Normal"/>
    <w:link w:val="TitoloCarattere"/>
    <w:qFormat/>
    <w:rsid w:val="009c67de"/>
    <w:pPr>
      <w:jc w:val="center"/>
    </w:pPr>
    <w:rPr>
      <w:rFonts w:ascii="Arial" w:hAnsi="Arial" w:cs="Arial"/>
      <w:sz w:val="24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9c67de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c623b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5517c"/>
    <w:pPr>
      <w:suppressAutoHyphens w:val="false"/>
      <w:spacing w:lineRule="auto" w:line="288" w:beforeAutospacing="1" w:after="142"/>
    </w:pPr>
    <w:rPr>
      <w:rFonts w:ascii="Times" w:hAnsi="Times" w:eastAsia="" w:eastAsiaTheme="minorEastAsia"/>
      <w:lang w:eastAsia="it-IT"/>
    </w:rPr>
  </w:style>
  <w:style w:type="paragraph" w:styleId="Default" w:customStyle="1">
    <w:name w:val="Default"/>
    <w:qFormat/>
    <w:rsid w:val="00a010c9"/>
    <w:pPr>
      <w:widowControl/>
      <w:bidi w:val="0"/>
      <w:spacing w:before="0" w:after="0"/>
      <w:ind w:hanging="0"/>
      <w:jc w:val="left"/>
    </w:pPr>
    <w:rPr>
      <w:rFonts w:ascii="Tahoma" w:hAnsi="Tahoma" w:cs="Tahoma" w:eastAsia=""/>
      <w:color w:val="000000"/>
      <w:kern w:val="0"/>
      <w:sz w:val="24"/>
      <w:szCs w:val="24"/>
      <w:lang w:val="it-IT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5517c"/>
    <w:pPr/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LibreOffice/6.4.4.2$Windows_X86_64 LibreOffice_project/3d775be2011f3886db32dfd395a6a6d1ca2630ff</Application>
  <Pages>8</Pages>
  <Words>829</Words>
  <Characters>5202</Characters>
  <CharactersWithSpaces>5932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2016-10-24T16:47:00Z</dcterms:created>
  <dc:creator>Francesca</dc:creator>
  <dc:description/>
  <dc:language>it-IT</dc:language>
  <cp:lastModifiedBy>Microsoft Office User</cp:lastModifiedBy>
  <cp:lastPrinted>2017-10-25T17:15:00Z</cp:lastPrinted>
  <dcterms:modified xsi:type="dcterms:W3CDTF">2020-09-19T05:34:00Z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